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D812" w14:textId="066AB5A9" w:rsidR="002B5544" w:rsidRDefault="002B5544" w:rsidP="00EC759D">
      <w:pPr>
        <w:rPr>
          <w:rFonts w:eastAsia="Calibri" w:cs="Arial"/>
          <w:b/>
          <w:color w:val="00B0F0"/>
          <w:kern w:val="2"/>
          <w:sz w:val="24"/>
          <w:szCs w:val="24"/>
          <w14:ligatures w14:val="standardContextual"/>
        </w:rPr>
      </w:pPr>
      <w:r>
        <w:rPr>
          <w:rFonts w:eastAsia="Calibri" w:cs="Arial"/>
          <w:b/>
          <w:color w:val="00B0F0"/>
          <w:kern w:val="2"/>
          <w:sz w:val="24"/>
          <w:szCs w:val="24"/>
          <w14:ligatures w14:val="standardContextual"/>
        </w:rPr>
        <w:t xml:space="preserve">The Sennheiser Group shows the latest immersive audio </w:t>
      </w:r>
      <w:r w:rsidR="008E2E79">
        <w:rPr>
          <w:rFonts w:eastAsia="Calibri" w:cs="Arial"/>
          <w:b/>
          <w:color w:val="00B0F0"/>
          <w:kern w:val="2"/>
          <w:sz w:val="24"/>
          <w:szCs w:val="24"/>
          <w14:ligatures w14:val="standardContextual"/>
        </w:rPr>
        <w:t xml:space="preserve">solutions </w:t>
      </w:r>
      <w:r>
        <w:rPr>
          <w:rFonts w:eastAsia="Calibri" w:cs="Arial"/>
          <w:b/>
          <w:color w:val="00B0F0"/>
          <w:kern w:val="2"/>
          <w:sz w:val="24"/>
          <w:szCs w:val="24"/>
          <w14:ligatures w14:val="standardContextual"/>
        </w:rPr>
        <w:t xml:space="preserve">and wireless technologies at NAB 2026 </w:t>
      </w:r>
    </w:p>
    <w:p w14:paraId="4E4DE389" w14:textId="6C209EEF" w:rsidR="00567063" w:rsidRDefault="00AE1774" w:rsidP="00AE1774">
      <w:pPr>
        <w:pStyle w:val="berschrift1"/>
        <w:rPr>
          <w:lang w:val="en-US"/>
        </w:rPr>
      </w:pPr>
      <w:r>
        <w:rPr>
          <w:lang w:val="en-US"/>
        </w:rPr>
        <w:t>Spectera</w:t>
      </w:r>
      <w:r w:rsidR="00262B8D">
        <w:rPr>
          <w:lang w:val="en-US"/>
        </w:rPr>
        <w:t xml:space="preserve"> firmware update</w:t>
      </w:r>
      <w:r w:rsidR="008E2E79">
        <w:rPr>
          <w:lang w:val="en-US"/>
        </w:rPr>
        <w:t xml:space="preserve"> unlocks new features</w:t>
      </w:r>
      <w:r w:rsidR="00262B8D">
        <w:rPr>
          <w:lang w:val="en-US"/>
        </w:rPr>
        <w:t>,</w:t>
      </w:r>
      <w:r w:rsidR="008E2E79">
        <w:rPr>
          <w:lang w:val="en-US"/>
        </w:rPr>
        <w:t xml:space="preserve"> talk on 1.4 GHz band for broadcasters, AMBEO Zone with solutions to increase audience engagement</w:t>
      </w:r>
    </w:p>
    <w:p w14:paraId="7DF017C0" w14:textId="77777777" w:rsidR="00AE1774" w:rsidRDefault="00AE1774" w:rsidP="00567063">
      <w:pPr>
        <w:rPr>
          <w:lang w:val="en-US"/>
        </w:rPr>
      </w:pPr>
    </w:p>
    <w:p w14:paraId="6F8857F5" w14:textId="77777777" w:rsidR="00262B8D" w:rsidRDefault="00262B8D" w:rsidP="00262B8D">
      <w:pPr>
        <w:rPr>
          <w:lang w:val="en-US"/>
        </w:rPr>
      </w:pPr>
      <w:r>
        <w:rPr>
          <w:noProof/>
          <w:lang w:val="en-US"/>
        </w:rPr>
        <w:drawing>
          <wp:inline distT="0" distB="0" distL="0" distR="0" wp14:anchorId="5CA34398" wp14:editId="7B7B0A3A">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1BF31F15" w14:textId="15DB607B" w:rsidR="00262B8D" w:rsidRDefault="00B25557" w:rsidP="00262B8D">
      <w:pPr>
        <w:rPr>
          <w:rFonts w:eastAsia="Calibri" w:cs="Arial"/>
          <w:kern w:val="2"/>
          <w:szCs w:val="20"/>
          <w14:ligatures w14:val="standardContextual"/>
        </w:rPr>
      </w:pPr>
      <w:bookmarkStart w:id="0" w:name="_Hlk44672633"/>
      <w:r>
        <w:rPr>
          <w:rFonts w:eastAsia="Calibri" w:cs="Arial"/>
          <w:b/>
          <w:i/>
          <w:kern w:val="2"/>
          <w14:ligatures w14:val="standardContextual"/>
        </w:rPr>
        <w:t>Wedemar</w:t>
      </w:r>
      <w:r w:rsidR="00F91512">
        <w:rPr>
          <w:rFonts w:eastAsia="Calibri" w:cs="Arial"/>
          <w:b/>
          <w:i/>
          <w:kern w:val="2"/>
          <w14:ligatures w14:val="standardContextual"/>
        </w:rPr>
        <w:t>k</w:t>
      </w:r>
      <w:r>
        <w:rPr>
          <w:rFonts w:eastAsia="Calibri" w:cs="Arial"/>
          <w:b/>
          <w:i/>
          <w:kern w:val="2"/>
          <w14:ligatures w14:val="standardContextual"/>
        </w:rPr>
        <w:t xml:space="preserve">, 31 March </w:t>
      </w:r>
      <w:r w:rsidR="00EC759D" w:rsidRPr="004244E7">
        <w:rPr>
          <w:rFonts w:eastAsia="Calibri" w:cs="Arial"/>
          <w:b/>
          <w:i/>
          <w:kern w:val="2"/>
          <w14:ligatures w14:val="standardContextual"/>
        </w:rPr>
        <w:t>2026</w:t>
      </w:r>
      <w:r w:rsidR="00EC759D" w:rsidRPr="004244E7">
        <w:rPr>
          <w:rFonts w:eastAsia="Calibri" w:cs="Arial"/>
          <w:b/>
          <w:kern w:val="2"/>
          <w14:ligatures w14:val="standardContextual"/>
        </w:rPr>
        <w:t xml:space="preserve"> — At </w:t>
      </w:r>
      <w:r>
        <w:rPr>
          <w:rFonts w:eastAsia="Calibri" w:cs="Arial"/>
          <w:b/>
          <w:kern w:val="2"/>
          <w14:ligatures w14:val="standardContextual"/>
        </w:rPr>
        <w:t>NAB</w:t>
      </w:r>
      <w:r w:rsidR="00EC759D" w:rsidRPr="004244E7">
        <w:rPr>
          <w:rFonts w:eastAsia="Calibri" w:cs="Arial"/>
          <w:b/>
          <w:kern w:val="2"/>
          <w14:ligatures w14:val="standardContextual"/>
        </w:rPr>
        <w:t xml:space="preserve"> 2026</w:t>
      </w:r>
      <w:r w:rsidR="00376FDD">
        <w:rPr>
          <w:rFonts w:eastAsia="Calibri" w:cs="Arial"/>
          <w:b/>
          <w:kern w:val="2"/>
          <w14:ligatures w14:val="standardContextual"/>
        </w:rPr>
        <w:t>, the Sennheiser Group shares forward-looking technologies with broadcasters, studios, streaming platforms and creators</w:t>
      </w:r>
      <w:r w:rsidR="00F91512">
        <w:rPr>
          <w:rFonts w:eastAsia="Calibri" w:cs="Arial"/>
          <w:b/>
          <w:kern w:val="2"/>
          <w14:ligatures w14:val="standardContextual"/>
        </w:rPr>
        <w:t xml:space="preserve"> at booth No.</w:t>
      </w:r>
      <w:r w:rsidR="003D3FCA">
        <w:rPr>
          <w:rFonts w:eastAsia="Calibri" w:cs="Arial"/>
          <w:b/>
          <w:kern w:val="2"/>
          <w14:ligatures w14:val="standardContextual"/>
        </w:rPr>
        <w:t> </w:t>
      </w:r>
      <w:r w:rsidR="00F91512">
        <w:rPr>
          <w:rFonts w:eastAsia="Calibri" w:cs="Arial"/>
          <w:b/>
          <w:kern w:val="2"/>
          <w14:ligatures w14:val="standardContextual"/>
        </w:rPr>
        <w:t>4931</w:t>
      </w:r>
      <w:r w:rsidR="00506409">
        <w:rPr>
          <w:rFonts w:eastAsia="Calibri" w:cs="Arial"/>
          <w:b/>
          <w:kern w:val="2"/>
          <w14:ligatures w14:val="standardContextual"/>
        </w:rPr>
        <w:t xml:space="preserve"> in Central Hall</w:t>
      </w:r>
      <w:r w:rsidR="00F91512">
        <w:rPr>
          <w:rFonts w:eastAsia="Calibri" w:cs="Arial"/>
          <w:b/>
          <w:kern w:val="2"/>
          <w14:ligatures w14:val="standardContextual"/>
        </w:rPr>
        <w:t xml:space="preserve">. With the booth segmented into </w:t>
      </w:r>
      <w:r w:rsidR="00506409">
        <w:rPr>
          <w:rFonts w:eastAsia="Calibri" w:cs="Arial"/>
          <w:b/>
          <w:kern w:val="2"/>
          <w14:ligatures w14:val="standardContextual"/>
        </w:rPr>
        <w:t>three areas</w:t>
      </w:r>
      <w:r w:rsidR="00316149" w:rsidRPr="00316149">
        <w:rPr>
          <w:rFonts w:asciiTheme="minorHAnsi" w:hAnsiTheme="minorHAnsi"/>
          <w:b/>
          <w:bCs/>
          <w:lang w:val="en-US"/>
        </w:rPr>
        <w:t>—</w:t>
      </w:r>
      <w:r w:rsidR="00F91512">
        <w:rPr>
          <w:rFonts w:eastAsia="Calibri" w:cs="Arial"/>
          <w:b/>
          <w:kern w:val="2"/>
          <w14:ligatures w14:val="standardContextual"/>
        </w:rPr>
        <w:t>Reliable Integration, Connection, and Future &amp; Innovation</w:t>
      </w:r>
      <w:r w:rsidR="00316149" w:rsidRPr="00316149">
        <w:rPr>
          <w:rFonts w:asciiTheme="minorHAnsi" w:hAnsiTheme="minorHAnsi"/>
          <w:b/>
          <w:bCs/>
          <w:lang w:val="en-US"/>
        </w:rPr>
        <w:t>—</w:t>
      </w:r>
      <w:r w:rsidR="00F91512">
        <w:rPr>
          <w:rFonts w:eastAsia="Calibri" w:cs="Arial"/>
          <w:b/>
          <w:kern w:val="2"/>
          <w14:ligatures w14:val="standardContextual"/>
        </w:rPr>
        <w:t xml:space="preserve">visitors </w:t>
      </w:r>
      <w:r w:rsidR="00506409">
        <w:rPr>
          <w:rFonts w:eastAsia="Calibri" w:cs="Arial"/>
          <w:b/>
          <w:kern w:val="2"/>
          <w14:ligatures w14:val="standardContextual"/>
        </w:rPr>
        <w:t>will be</w:t>
      </w:r>
      <w:r w:rsidR="00F91512">
        <w:rPr>
          <w:rFonts w:eastAsia="Calibri" w:cs="Arial"/>
          <w:b/>
          <w:kern w:val="2"/>
          <w14:ligatures w14:val="standardContextual"/>
        </w:rPr>
        <w:t xml:space="preserve"> guided along their workflow journey</w:t>
      </w:r>
      <w:r w:rsidR="00040D7D">
        <w:rPr>
          <w:rFonts w:eastAsia="Calibri" w:cs="Arial"/>
          <w:b/>
          <w:kern w:val="2"/>
          <w14:ligatures w14:val="standardContextual"/>
        </w:rPr>
        <w:t xml:space="preserve">. It takes them </w:t>
      </w:r>
      <w:r w:rsidR="00F91512">
        <w:rPr>
          <w:rFonts w:eastAsia="Calibri" w:cs="Arial"/>
          <w:b/>
          <w:kern w:val="2"/>
          <w14:ligatures w14:val="standardContextual"/>
        </w:rPr>
        <w:t>from captur</w:t>
      </w:r>
      <w:r w:rsidR="008E2E79">
        <w:rPr>
          <w:rFonts w:eastAsia="Calibri" w:cs="Arial"/>
          <w:b/>
          <w:kern w:val="2"/>
          <w14:ligatures w14:val="standardContextual"/>
        </w:rPr>
        <w:t>ing</w:t>
      </w:r>
      <w:r w:rsidR="00F91512">
        <w:rPr>
          <w:rFonts w:eastAsia="Calibri" w:cs="Arial"/>
          <w:b/>
          <w:kern w:val="2"/>
          <w14:ligatures w14:val="standardContextual"/>
        </w:rPr>
        <w:t xml:space="preserve">, augmenting and monitoring </w:t>
      </w:r>
      <w:r w:rsidR="008E2E79">
        <w:rPr>
          <w:rFonts w:eastAsia="Calibri" w:cs="Arial"/>
          <w:b/>
          <w:kern w:val="2"/>
          <w14:ligatures w14:val="standardContextual"/>
        </w:rPr>
        <w:t xml:space="preserve">content </w:t>
      </w:r>
      <w:r w:rsidR="00F91512">
        <w:rPr>
          <w:rFonts w:eastAsia="Calibri" w:cs="Arial"/>
          <w:b/>
          <w:kern w:val="2"/>
          <w14:ligatures w14:val="standardContextual"/>
        </w:rPr>
        <w:t xml:space="preserve">with </w:t>
      </w:r>
      <w:r w:rsidR="008E2E79">
        <w:rPr>
          <w:rFonts w:eastAsia="Calibri" w:cs="Arial"/>
          <w:b/>
          <w:kern w:val="2"/>
          <w14:ligatures w14:val="standardContextual"/>
        </w:rPr>
        <w:t xml:space="preserve">solutions from </w:t>
      </w:r>
      <w:r w:rsidR="00F91512">
        <w:rPr>
          <w:rFonts w:eastAsia="Calibri" w:cs="Arial"/>
          <w:b/>
          <w:kern w:val="2"/>
          <w14:ligatures w14:val="standardContextual"/>
        </w:rPr>
        <w:t>Sennheiser, Neumann and Merging</w:t>
      </w:r>
      <w:r w:rsidR="00D66A0D">
        <w:rPr>
          <w:rFonts w:eastAsia="Calibri" w:cs="Arial"/>
          <w:b/>
          <w:kern w:val="2"/>
          <w14:ligatures w14:val="standardContextual"/>
        </w:rPr>
        <w:t>,</w:t>
      </w:r>
      <w:r w:rsidR="00F91512">
        <w:rPr>
          <w:rFonts w:eastAsia="Calibri" w:cs="Arial"/>
          <w:b/>
          <w:kern w:val="2"/>
          <w14:ligatures w14:val="standardContextual"/>
        </w:rPr>
        <w:t xml:space="preserve"> to integrating and connecting</w:t>
      </w:r>
      <w:r w:rsidR="00506409">
        <w:rPr>
          <w:rFonts w:eastAsia="Calibri" w:cs="Arial"/>
          <w:b/>
          <w:kern w:val="2"/>
          <w14:ligatures w14:val="standardContextual"/>
        </w:rPr>
        <w:t xml:space="preserve">, where </w:t>
      </w:r>
      <w:r w:rsidR="00040D7D">
        <w:rPr>
          <w:rFonts w:eastAsia="Calibri" w:cs="Arial"/>
          <w:b/>
          <w:kern w:val="2"/>
          <w14:ligatures w14:val="standardContextual"/>
        </w:rPr>
        <w:t xml:space="preserve">partner SoundBase </w:t>
      </w:r>
      <w:r w:rsidR="00506409">
        <w:rPr>
          <w:rFonts w:eastAsia="Calibri" w:cs="Arial"/>
          <w:b/>
          <w:kern w:val="2"/>
          <w14:ligatures w14:val="standardContextual"/>
        </w:rPr>
        <w:t xml:space="preserve">will show new feature additions to its brand-agnostic RF planning and control </w:t>
      </w:r>
      <w:r w:rsidR="00040D7D">
        <w:rPr>
          <w:rFonts w:eastAsia="Calibri" w:cs="Arial"/>
          <w:b/>
          <w:kern w:val="2"/>
          <w14:ligatures w14:val="standardContextual"/>
        </w:rPr>
        <w:t>app. The journey culminates in the Future &amp; Innovation area, where the AMBEO Zone</w:t>
      </w:r>
      <w:r w:rsidR="00DB43B0">
        <w:rPr>
          <w:rFonts w:eastAsia="Calibri" w:cs="Arial"/>
          <w:b/>
          <w:kern w:val="2"/>
          <w14:ligatures w14:val="standardContextual"/>
        </w:rPr>
        <w:t>, Spectera showcase</w:t>
      </w:r>
      <w:r w:rsidR="00040D7D">
        <w:rPr>
          <w:rFonts w:eastAsia="Calibri" w:cs="Arial"/>
          <w:b/>
          <w:kern w:val="2"/>
          <w14:ligatures w14:val="standardContextual"/>
        </w:rPr>
        <w:t xml:space="preserve"> </w:t>
      </w:r>
      <w:r w:rsidR="00040D7D" w:rsidRPr="00262B8D">
        <w:rPr>
          <w:rFonts w:eastAsia="Calibri" w:cs="Arial"/>
          <w:b/>
          <w:kern w:val="2"/>
          <w14:ligatures w14:val="standardContextual"/>
        </w:rPr>
        <w:t>and Spectera Lab</w:t>
      </w:r>
      <w:r w:rsidR="00AE1774" w:rsidRPr="00262B8D">
        <w:rPr>
          <w:rFonts w:eastAsia="Calibri" w:cs="Arial"/>
          <w:b/>
          <w:kern w:val="2"/>
          <w14:ligatures w14:val="standardContextual"/>
        </w:rPr>
        <w:t xml:space="preserve"> </w:t>
      </w:r>
      <w:r w:rsidR="00DB43B0">
        <w:rPr>
          <w:rFonts w:eastAsia="Calibri" w:cs="Arial"/>
          <w:b/>
          <w:kern w:val="2"/>
          <w14:ligatures w14:val="standardContextual"/>
        </w:rPr>
        <w:t>are located</w:t>
      </w:r>
      <w:r w:rsidR="00506409">
        <w:rPr>
          <w:rFonts w:eastAsia="Calibri" w:cs="Arial"/>
          <w:b/>
          <w:kern w:val="2"/>
          <w14:ligatures w14:val="standardContextual"/>
        </w:rPr>
        <w:t xml:space="preserve">. Visitors are also </w:t>
      </w:r>
      <w:r w:rsidR="00080192">
        <w:rPr>
          <w:rFonts w:eastAsia="Calibri" w:cs="Arial"/>
          <w:b/>
          <w:kern w:val="2"/>
          <w14:ligatures w14:val="standardContextual"/>
        </w:rPr>
        <w:t xml:space="preserve">kindly </w:t>
      </w:r>
      <w:r w:rsidR="00506409">
        <w:rPr>
          <w:rFonts w:eastAsia="Calibri" w:cs="Arial"/>
          <w:b/>
          <w:kern w:val="2"/>
          <w14:ligatures w14:val="standardContextual"/>
        </w:rPr>
        <w:t>invited to a talk by Sennheiser’s Joe Ciaudelli on “</w:t>
      </w:r>
      <w:r w:rsidR="00506409" w:rsidRPr="002B5544">
        <w:rPr>
          <w:rStyle w:val="Fett"/>
        </w:rPr>
        <w:t>Wireless Microphone Operation for Mega-Events in the 1435 – 1525 MHz Band</w:t>
      </w:r>
      <w:r w:rsidR="00080192">
        <w:rPr>
          <w:rStyle w:val="Fett"/>
        </w:rPr>
        <w:t>”, taking place</w:t>
      </w:r>
      <w:r w:rsidR="0017571D">
        <w:rPr>
          <w:rStyle w:val="Fett"/>
        </w:rPr>
        <w:t xml:space="preserve"> </w:t>
      </w:r>
      <w:r w:rsidR="008E2E79">
        <w:rPr>
          <w:rStyle w:val="Fett"/>
        </w:rPr>
        <w:t xml:space="preserve">on </w:t>
      </w:r>
      <w:r w:rsidR="00262B8D" w:rsidRPr="00945E66">
        <w:rPr>
          <w:rFonts w:eastAsia="Calibri" w:cs="Arial"/>
          <w:b/>
          <w:bCs/>
          <w:kern w:val="2"/>
          <w:szCs w:val="20"/>
          <w14:ligatures w14:val="standardContextual"/>
        </w:rPr>
        <w:t>Saturday, April 18</w:t>
      </w:r>
      <w:r w:rsidR="00262B8D">
        <w:rPr>
          <w:rFonts w:eastAsia="Calibri" w:cs="Arial"/>
          <w:b/>
          <w:bCs/>
          <w:kern w:val="2"/>
          <w:szCs w:val="20"/>
          <w14:ligatures w14:val="standardContextual"/>
        </w:rPr>
        <w:t xml:space="preserve">, </w:t>
      </w:r>
      <w:r w:rsidR="00262B8D" w:rsidRPr="00945E66">
        <w:rPr>
          <w:rFonts w:eastAsia="Calibri" w:cs="Arial"/>
          <w:b/>
          <w:bCs/>
          <w:kern w:val="2"/>
          <w:szCs w:val="20"/>
          <w14:ligatures w14:val="standardContextual"/>
        </w:rPr>
        <w:t xml:space="preserve">2:10 – 2:30 p.m. </w:t>
      </w:r>
      <w:r w:rsidR="00262B8D">
        <w:rPr>
          <w:rFonts w:eastAsia="Calibri" w:cs="Arial"/>
          <w:b/>
          <w:bCs/>
          <w:kern w:val="2"/>
          <w:szCs w:val="20"/>
          <w14:ligatures w14:val="standardContextual"/>
        </w:rPr>
        <w:t xml:space="preserve">in </w:t>
      </w:r>
      <w:r w:rsidR="00080192">
        <w:rPr>
          <w:rFonts w:eastAsia="Calibri" w:cs="Arial"/>
          <w:b/>
          <w:bCs/>
          <w:kern w:val="2"/>
          <w:szCs w:val="20"/>
          <w14:ligatures w14:val="standardContextual"/>
        </w:rPr>
        <w:t xml:space="preserve">Room </w:t>
      </w:r>
      <w:r w:rsidR="00262B8D">
        <w:rPr>
          <w:rFonts w:eastAsia="Calibri" w:cs="Arial"/>
          <w:b/>
          <w:bCs/>
          <w:kern w:val="2"/>
          <w:szCs w:val="20"/>
          <w14:ligatures w14:val="standardContextual"/>
        </w:rPr>
        <w:t>N</w:t>
      </w:r>
      <w:r w:rsidR="00262B8D" w:rsidRPr="00945E66">
        <w:rPr>
          <w:rFonts w:eastAsia="Calibri" w:cs="Arial"/>
          <w:b/>
          <w:bCs/>
          <w:kern w:val="2"/>
          <w:szCs w:val="20"/>
          <w14:ligatures w14:val="standardContextual"/>
        </w:rPr>
        <w:t>25</w:t>
      </w:r>
      <w:r w:rsidR="00262B8D">
        <w:rPr>
          <w:rFonts w:eastAsia="Calibri" w:cs="Arial"/>
          <w:b/>
          <w:bCs/>
          <w:kern w:val="2"/>
          <w:szCs w:val="20"/>
          <w14:ligatures w14:val="standardContextual"/>
        </w:rPr>
        <w:t>.</w:t>
      </w:r>
    </w:p>
    <w:p w14:paraId="6C08EAE8" w14:textId="77777777" w:rsidR="00CB1A59" w:rsidRDefault="00CB1A59" w:rsidP="00EC759D">
      <w:pPr>
        <w:rPr>
          <w:rFonts w:eastAsia="Calibri" w:cs="Arial"/>
          <w:bCs/>
          <w:kern w:val="2"/>
          <w:szCs w:val="20"/>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r w:rsidR="00EB46FB" w:rsidRPr="004244E7">
        <w:rPr>
          <w:rFonts w:eastAsia="Calibri" w:cs="Arial"/>
          <w:b/>
          <w:bCs/>
          <w:kern w:val="2"/>
          <w:szCs w:val="20"/>
          <w14:ligatures w14:val="standardContextual"/>
        </w:rPr>
        <w:t xml:space="preserve">Spectera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xml:space="preserve">. “It </w:t>
      </w:r>
      <w:r w:rsidR="00303B94">
        <w:rPr>
          <w:rFonts w:eastAsia="Calibri" w:cs="Arial"/>
          <w:bCs/>
          <w:kern w:val="2"/>
          <w:szCs w:val="20"/>
          <w14:ligatures w14:val="standardContextual"/>
        </w:rPr>
        <w:lastRenderedPageBreak/>
        <w:t>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Beschriftung"/>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Beschriftung"/>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r w:rsidRPr="00080192">
        <w:rPr>
          <w:szCs w:val="20"/>
        </w:rPr>
        <w:t>Bitfocus</w:t>
      </w:r>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version 1.6.0</w:t>
      </w:r>
      <w:r w:rsidR="00513544">
        <w:rPr>
          <w:szCs w:val="20"/>
        </w:rPr>
        <w:t xml:space="preserve">, </w:t>
      </w:r>
      <w:r w:rsidR="004C0112">
        <w:rPr>
          <w:szCs w:val="20"/>
        </w:rPr>
        <w:t xml:space="preserve">and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lastRenderedPageBreak/>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Spectera WebUI (pictured) will be the on-device software for Spectera, while the brand-agnostic SoundBase application will become the recommended on-premise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BDBB0FC" w14:textId="39A639E0" w:rsidR="00C5677D" w:rsidRPr="00D94D44" w:rsidRDefault="00C5677D" w:rsidP="00C5677D">
      <w:pPr>
        <w:rPr>
          <w:rFonts w:eastAsia="Calibri" w:cs="Arial"/>
          <w:b/>
          <w:kern w:val="2"/>
          <w:szCs w:val="20"/>
          <w14:ligatures w14:val="standardContextual"/>
        </w:rPr>
      </w:pPr>
      <w:r w:rsidRPr="00D94D44">
        <w:rPr>
          <w:rFonts w:eastAsia="Calibri" w:cs="Arial"/>
          <w:b/>
          <w:kern w:val="2"/>
          <w:szCs w:val="20"/>
          <w14:ligatures w14:val="standardContextual"/>
        </w:rPr>
        <w:t>Taiwan and Brazil now licensed for Spectera</w:t>
      </w:r>
      <w:r w:rsidR="008B1140">
        <w:rPr>
          <w:rFonts w:eastAsia="Calibri" w:cs="Arial"/>
          <w:b/>
          <w:kern w:val="2"/>
          <w:szCs w:val="20"/>
          <w14:ligatures w14:val="standardContextual"/>
        </w:rPr>
        <w:t xml:space="preserve">, trial license for </w:t>
      </w:r>
      <w:r w:rsidR="004819E6">
        <w:rPr>
          <w:rFonts w:eastAsia="Calibri" w:cs="Arial"/>
          <w:b/>
          <w:kern w:val="2"/>
          <w:szCs w:val="20"/>
          <w14:ligatures w14:val="standardContextual"/>
        </w:rPr>
        <w:t xml:space="preserve">Mainland </w:t>
      </w:r>
      <w:r w:rsidR="008B1140">
        <w:rPr>
          <w:rFonts w:eastAsia="Calibri" w:cs="Arial"/>
          <w:b/>
          <w:kern w:val="2"/>
          <w:szCs w:val="20"/>
          <w14:ligatures w14:val="standardContextual"/>
        </w:rPr>
        <w:t>China</w:t>
      </w:r>
    </w:p>
    <w:p w14:paraId="4621813F" w14:textId="2EBF49B2" w:rsidR="00C5677D" w:rsidRPr="00D94D44" w:rsidRDefault="00C5677D" w:rsidP="00C5677D">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w:t>
      </w:r>
      <w:r w:rsidR="004819E6">
        <w:rPr>
          <w:rFonts w:eastAsia="Calibri" w:cs="Arial"/>
          <w:bCs/>
          <w:kern w:val="2"/>
          <w:szCs w:val="20"/>
          <w14:ligatures w14:val="standardContextual"/>
        </w:rPr>
        <w:t xml:space="preserve">Mainland </w:t>
      </w:r>
      <w:r w:rsidR="004C0112">
        <w:rPr>
          <w:rFonts w:eastAsia="Calibri" w:cs="Arial"/>
          <w:bCs/>
          <w:kern w:val="2"/>
          <w:szCs w:val="20"/>
          <w14:ligatures w14:val="standardContextual"/>
        </w:rPr>
        <w:t>China (</w:t>
      </w:r>
      <w:r w:rsidR="008B1140">
        <w:rPr>
          <w:rFonts w:eastAsia="Calibri" w:cs="Arial"/>
          <w:bCs/>
          <w:kern w:val="2"/>
          <w:szCs w:val="20"/>
          <w14:ligatures w14:val="standardContextual"/>
        </w:rPr>
        <w:t xml:space="preserve">trial, </w:t>
      </w:r>
      <w:r w:rsidR="004C0112">
        <w:rPr>
          <w:rFonts w:eastAsia="Calibri" w:cs="Arial"/>
          <w:bCs/>
          <w:kern w:val="2"/>
          <w:szCs w:val="20"/>
          <w14:ligatures w14:val="standardContextual"/>
        </w:rPr>
        <w:t xml:space="preserve">LIC ZONE 17), and </w:t>
      </w:r>
      <w:r>
        <w:rPr>
          <w:rFonts w:eastAsia="Calibri" w:cs="Arial"/>
          <w:bCs/>
          <w:kern w:val="2"/>
          <w:szCs w:val="20"/>
          <w14:ligatures w14:val="standardContextual"/>
        </w:rPr>
        <w:t>Brazil</w:t>
      </w:r>
      <w:r w:rsidR="00727AF7">
        <w:rPr>
          <w:rFonts w:eastAsia="Calibri" w:cs="Arial"/>
          <w:bCs/>
          <w:kern w:val="2"/>
          <w:szCs w:val="20"/>
          <w14:ligatures w14:val="standardContextual"/>
        </w:rPr>
        <w:t xml:space="preserve"> (LIC ZONE 16),</w:t>
      </w:r>
      <w:r>
        <w:rPr>
          <w:rFonts w:eastAsia="Calibri" w:cs="Arial"/>
          <w:bCs/>
          <w:kern w:val="2"/>
          <w:szCs w:val="20"/>
          <w14:ligatures w14:val="standardContextual"/>
        </w:rPr>
        <w:t xml:space="preserve"> where Anatel certification is now in place. Furthermore, the allowed frequencies in the 1.4 GHz band for LIC ZONE 1 (EU, EFTA, UK, Turkey) have been expanded, and now include 1492-1525 MHz in addition to 1350-1400 MHz.</w:t>
      </w:r>
      <w:r w:rsidR="00D66A0D">
        <w:rPr>
          <w:rFonts w:eastAsia="Calibri" w:cs="Arial"/>
          <w:bCs/>
          <w:kern w:val="2"/>
          <w:szCs w:val="20"/>
          <w14:ligatures w14:val="standardContextual"/>
        </w:rPr>
        <w:t xml:space="preserve"> </w:t>
      </w:r>
      <w:r>
        <w:rPr>
          <w:rFonts w:eastAsia="Calibri" w:cs="Arial"/>
          <w:bCs/>
          <w:kern w:val="2"/>
          <w:szCs w:val="20"/>
          <w14:ligatures w14:val="standardContextual"/>
        </w:rPr>
        <w:t xml:space="preserve">“This extension makes </w:t>
      </w:r>
      <w:r w:rsidR="00287BC8">
        <w:rPr>
          <w:rFonts w:eastAsia="Calibri" w:cs="Arial"/>
          <w:bCs/>
          <w:kern w:val="2"/>
          <w:szCs w:val="20"/>
          <w14:ligatures w14:val="standardContextual"/>
        </w:rPr>
        <w:t xml:space="preserve">the </w:t>
      </w:r>
      <w:r>
        <w:rPr>
          <w:rFonts w:eastAsia="Calibri" w:cs="Arial"/>
          <w:bCs/>
          <w:kern w:val="2"/>
          <w:szCs w:val="20"/>
          <w14:ligatures w14:val="standardContextual"/>
        </w:rPr>
        <w:t>Spectera 1.4 GHz</w:t>
      </w:r>
      <w:r w:rsidR="00287BC8">
        <w:rPr>
          <w:rFonts w:eastAsia="Calibri" w:cs="Arial"/>
          <w:bCs/>
          <w:kern w:val="2"/>
          <w:szCs w:val="20"/>
          <w14:ligatures w14:val="standardContextual"/>
        </w:rPr>
        <w:t xml:space="preserve"> even more attractive </w:t>
      </w:r>
      <w:r w:rsidR="001E5E76">
        <w:rPr>
          <w:rFonts w:eastAsia="Calibri" w:cs="Arial"/>
          <w:bCs/>
          <w:kern w:val="2"/>
          <w:szCs w:val="20"/>
          <w14:ligatures w14:val="standardContextual"/>
        </w:rPr>
        <w:t>for</w:t>
      </w:r>
      <w:r w:rsidR="00287BC8">
        <w:rPr>
          <w:rFonts w:eastAsia="Calibri" w:cs="Arial"/>
          <w:bCs/>
          <w:kern w:val="2"/>
          <w:szCs w:val="20"/>
          <w14:ligatures w14:val="standardContextual"/>
        </w:rPr>
        <w:t xml:space="preserve"> users,”</w:t>
      </w:r>
      <w:r w:rsidR="00AE1AEB">
        <w:rPr>
          <w:rFonts w:eastAsia="Calibri" w:cs="Arial"/>
          <w:bCs/>
          <w:kern w:val="2"/>
          <w:szCs w:val="20"/>
          <w14:ligatures w14:val="standardContextual"/>
        </w:rPr>
        <w:t xml:space="preserve"> says Euen, </w:t>
      </w:r>
      <w:r w:rsidR="001E5E76">
        <w:rPr>
          <w:rFonts w:eastAsia="Calibri" w:cs="Arial"/>
          <w:bCs/>
          <w:kern w:val="2"/>
          <w:szCs w:val="20"/>
          <w14:ligatures w14:val="standardContextual"/>
        </w:rPr>
        <w:t>“especially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Fett"/>
        </w:rPr>
      </w:pPr>
      <w:r w:rsidRPr="002B5544">
        <w:rPr>
          <w:rStyle w:val="Fett"/>
        </w:rPr>
        <w:t xml:space="preserve">Wireless </w:t>
      </w:r>
      <w:r w:rsidR="00047C19">
        <w:rPr>
          <w:rStyle w:val="Fett"/>
        </w:rPr>
        <w:t>m</w:t>
      </w:r>
      <w:r w:rsidRPr="002B5544">
        <w:rPr>
          <w:rStyle w:val="Fett"/>
        </w:rPr>
        <w:t xml:space="preserve">icrophone </w:t>
      </w:r>
      <w:r w:rsidR="00047C19">
        <w:rPr>
          <w:rStyle w:val="Fett"/>
        </w:rPr>
        <w:t>o</w:t>
      </w:r>
      <w:r w:rsidRPr="002B5544">
        <w:rPr>
          <w:rStyle w:val="Fett"/>
        </w:rPr>
        <w:t xml:space="preserve">peration for </w:t>
      </w:r>
      <w:r w:rsidR="00047C19">
        <w:rPr>
          <w:rStyle w:val="Fett"/>
        </w:rPr>
        <w:t>m</w:t>
      </w:r>
      <w:r w:rsidRPr="002B5544">
        <w:rPr>
          <w:rStyle w:val="Fett"/>
        </w:rPr>
        <w:t>ega-</w:t>
      </w:r>
      <w:r w:rsidR="00047C19">
        <w:rPr>
          <w:rStyle w:val="Fett"/>
        </w:rPr>
        <w:t>e</w:t>
      </w:r>
      <w:r w:rsidRPr="002B5544">
        <w:rPr>
          <w:rStyle w:val="Fett"/>
        </w:rPr>
        <w:t xml:space="preserve">vents in the 1435 – 1525 MHz </w:t>
      </w:r>
      <w:r w:rsidR="00047C19">
        <w:rPr>
          <w:rStyle w:val="Fett"/>
        </w:rPr>
        <w:t>b</w:t>
      </w:r>
      <w:r w:rsidRPr="002B5544">
        <w:rPr>
          <w:rStyle w:val="Fett"/>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lastRenderedPageBreak/>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Fett"/>
        </w:rPr>
      </w:pPr>
      <w:r w:rsidRPr="0018648F">
        <w:rPr>
          <w:rStyle w:val="Fett"/>
        </w:rPr>
        <w:t xml:space="preserve">Immersive </w:t>
      </w:r>
      <w:r w:rsidR="00262B8D">
        <w:rPr>
          <w:rStyle w:val="Fett"/>
        </w:rPr>
        <w:t>w</w:t>
      </w:r>
      <w:r w:rsidRPr="0018648F">
        <w:rPr>
          <w:rStyle w:val="Fett"/>
        </w:rPr>
        <w:t xml:space="preserve">orkflows for </w:t>
      </w:r>
      <w:r w:rsidR="00262B8D">
        <w:rPr>
          <w:rStyle w:val="Fett"/>
        </w:rPr>
        <w:t>b</w:t>
      </w:r>
      <w:r w:rsidRPr="0018648F">
        <w:rPr>
          <w:rStyle w:val="Fett"/>
        </w:rPr>
        <w:t>roadcast</w:t>
      </w:r>
      <w:r w:rsidR="00262B8D">
        <w:rPr>
          <w:rStyle w:val="Fett"/>
        </w:rPr>
        <w:t>ing</w:t>
      </w:r>
      <w:r w:rsidRPr="0018648F">
        <w:rPr>
          <w:rStyle w:val="Fett"/>
        </w:rPr>
        <w:t xml:space="preserve"> </w:t>
      </w:r>
      <w:r>
        <w:rPr>
          <w:rStyle w:val="Fett"/>
        </w:rPr>
        <w:t xml:space="preserve">and </w:t>
      </w:r>
      <w:r w:rsidRPr="0018648F">
        <w:rPr>
          <w:rStyle w:val="Fett"/>
        </w:rPr>
        <w:t xml:space="preserve">OTT </w:t>
      </w:r>
      <w:r>
        <w:rPr>
          <w:rStyle w:val="Fett"/>
        </w:rPr>
        <w:t xml:space="preserve">in the </w:t>
      </w:r>
      <w:r w:rsidR="0018648F" w:rsidRPr="0018648F">
        <w:rPr>
          <w:rStyle w:val="Fett"/>
        </w:rPr>
        <w:t xml:space="preserve">AMBEO </w:t>
      </w:r>
      <w:r>
        <w:rPr>
          <w:rStyle w:val="Fett"/>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are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immersive and surround beds into a dynamic AMBEO 2.0 stream in real 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Beschriftung"/>
            </w:pPr>
            <w:r w:rsidRPr="005D7E6B">
              <w:rPr>
                <w:noProof/>
              </w:rPr>
              <w:lastRenderedPageBreak/>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Beschriftung"/>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r w:rsidRPr="00C5677D">
        <w:rPr>
          <w:rFonts w:asciiTheme="minorHAnsi" w:hAnsiTheme="minorHAnsi"/>
          <w:lang w:val="en-US"/>
        </w:rPr>
        <w:t>Last but not least,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r w:rsidR="00A53AFB" w:rsidRPr="00C5677D">
        <w:rPr>
          <w:rFonts w:asciiTheme="minorHAnsi" w:hAnsiTheme="minorHAnsi"/>
          <w:lang w:val="en-US"/>
        </w:rPr>
        <w:t>visionOS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Beschriftung"/>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Beschriftung"/>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lastRenderedPageBreak/>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49A89C7-5D91-4025-96A1-684CD20D1EE2}"/>
  </w:font>
  <w:font w:name="Sennheiser Office">
    <w:panose1 w:val="020B0504020101010102"/>
    <w:charset w:val="00"/>
    <w:family w:val="swiss"/>
    <w:pitch w:val="variable"/>
    <w:sig w:usb0="A00000AF" w:usb1="500020DB" w:usb2="00000000" w:usb3="00000000" w:csb0="00000093" w:csb1="00000000"/>
    <w:embedRegular r:id="rId2" w:fontKey="{1E11B0FE-327E-406B-B470-7750BFE5562B}"/>
    <w:embedBold r:id="rId3" w:fontKey="{53754213-752E-4A89-A1C3-DDB9170D8F15}"/>
    <w:embedBoldItalic r:id="rId4" w:fontKey="{92A14E45-0563-4EDD-8596-B13BA1E7A2B1}"/>
  </w:font>
  <w:font w:name="Calibri">
    <w:panose1 w:val="020F0502020204030204"/>
    <w:charset w:val="00"/>
    <w:family w:val="swiss"/>
    <w:pitch w:val="variable"/>
    <w:sig w:usb0="E4002EFF" w:usb1="C200247B" w:usb2="00000009" w:usb3="00000000" w:csb0="000001FF" w:csb1="00000000"/>
    <w:embedRegular r:id="rId5" w:fontKey="{0B8DC501-06C9-4938-94AB-EDB0726E1A8E}"/>
    <w:embedBold r:id="rId6" w:fontKey="{CE127A54-D880-4800-9208-892098F05E91}"/>
    <w:embedBoldItalic r:id="rId7" w:fontKey="{DA157221-E8F7-45EC-A535-15E710E50D2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B447684-52F8-4265-BC1C-08BF83AF3299}"/>
    <w:embedBold r:id="rId9" w:fontKey="{9FD8460E-6FE0-4B21-9DDC-DAB7C568BC6C}"/>
  </w:font>
  <w:font w:name="Sennheiser Neue Regular">
    <w:panose1 w:val="000005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94345BBA-B6A3-4889-8341-5BDB489F5401}"/>
    <w:embedBold r:id="rId11" w:fontKey="{4C28AA9F-0C2E-46A5-9E2B-91B0A1C9E08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1873"/>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19E6"/>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5D91"/>
    <w:rsid w:val="008A618A"/>
    <w:rsid w:val="008A7C23"/>
    <w:rsid w:val="008B0152"/>
    <w:rsid w:val="008B1140"/>
    <w:rsid w:val="008B2F10"/>
    <w:rsid w:val="008B3FD5"/>
    <w:rsid w:val="008B605D"/>
    <w:rsid w:val="008C111F"/>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qFormat/>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paragraph" w:styleId="Textkrper">
    <w:name w:val="Body Text"/>
    <w:basedOn w:val="Standard"/>
    <w:link w:val="TextkrperZchn"/>
    <w:qFormat/>
    <w:rsid w:val="00CB1A59"/>
    <w:pPr>
      <w:spacing w:line="240" w:lineRule="auto"/>
    </w:pPr>
    <w:rPr>
      <w:rFonts w:ascii="Arial" w:eastAsia="Times New Roman" w:hAnsi="Arial" w:cs="Times New Roman"/>
      <w:sz w:val="22"/>
      <w:szCs w:val="20"/>
      <w:lang w:val="en-US" w:eastAsia="pt-BR"/>
    </w:rPr>
  </w:style>
  <w:style w:type="character" w:customStyle="1" w:styleId="TextkrperZchn">
    <w:name w:val="Textkörper Zchn"/>
    <w:basedOn w:val="Absatz-Standardschriftart"/>
    <w:link w:val="Textkrper"/>
    <w:rsid w:val="00CB1A59"/>
    <w:rPr>
      <w:rFonts w:ascii="Arial" w:eastAsia="Times New Roman" w:hAnsi="Arial" w:cs="Times New Roman"/>
      <w:szCs w:val="20"/>
      <w:lang w:val="en-US" w:eastAsia="pt-BR"/>
    </w:rPr>
  </w:style>
  <w:style w:type="paragraph" w:customStyle="1" w:styleId="Author">
    <w:name w:val="Author"/>
    <w:basedOn w:val="Titel"/>
    <w:next w:val="Standard"/>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elZchn"/>
    <w:link w:val="Author"/>
    <w:rsid w:val="002B5544"/>
    <w:rPr>
      <w:rFonts w:ascii="Arial" w:eastAsia="Times New Roman" w:hAnsi="Arial" w:cs="Arial"/>
      <w:b/>
      <w:bCs/>
      <w:iCs/>
      <w:spacing w:val="-10"/>
      <w:kern w:val="28"/>
      <w:sz w:val="24"/>
      <w:szCs w:val="24"/>
      <w:lang w:val="en-US" w:eastAsia="pt-BR"/>
    </w:rPr>
  </w:style>
  <w:style w:type="paragraph" w:styleId="Titel">
    <w:name w:val="Title"/>
    <w:basedOn w:val="Standard"/>
    <w:next w:val="Standard"/>
    <w:link w:val="TitelZchn"/>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Absatz-Standardschriftart"/>
    <w:rsid w:val="00D94D44"/>
  </w:style>
  <w:style w:type="character" w:styleId="BesuchterLink">
    <w:name w:val="FollowedHyperlink"/>
    <w:basedOn w:val="Absatz-Standardschriftar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http://purl.org/dc/terms/"/>
    <ds:schemaRef ds:uri="3b4d394d-3e9b-4b09-8510-416eecfe5e8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44aaffe-57ba-44ee-9c95-db698e2c105a"/>
    <ds:schemaRef ds:uri="http://www.w3.org/XML/1998/namespace"/>
    <ds:schemaRef ds:uri="http://purl.org/dc/dcmitype/"/>
  </ds:schemaRefs>
</ds:datastoreItem>
</file>

<file path=customXml/itemProps3.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1202</Words>
  <Characters>7577</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67</cp:revision>
  <cp:lastPrinted>2026-04-02T15:13:00Z</cp:lastPrinted>
  <dcterms:created xsi:type="dcterms:W3CDTF">2026-01-20T20:05:00Z</dcterms:created>
  <dcterms:modified xsi:type="dcterms:W3CDTF">2026-04-02T15:13:00Z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